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77" w:rsidRDefault="00291877" w:rsidP="00291877">
      <w:pPr>
        <w:outlineLvl w:val="0"/>
        <w:rPr>
          <w:lang w:eastAsia="es-ES"/>
        </w:rPr>
      </w:pPr>
      <w:r>
        <w:rPr>
          <w:b/>
          <w:bCs/>
          <w:lang w:eastAsia="es-ES"/>
        </w:rPr>
        <w:t>De:</w:t>
      </w:r>
      <w:r>
        <w:rPr>
          <w:lang w:eastAsia="es-ES"/>
        </w:rPr>
        <w:t xml:space="preserve"> Ochoa Garcia, Iñigo &lt;</w:t>
      </w:r>
      <w:hyperlink r:id="rId5" w:history="1">
        <w:r>
          <w:rPr>
            <w:rStyle w:val="Hipervnculo"/>
            <w:lang w:eastAsia="es-ES"/>
          </w:rPr>
          <w:t>iochoa@indra.es</w:t>
        </w:r>
      </w:hyperlink>
      <w:r>
        <w:rPr>
          <w:lang w:eastAsia="es-ES"/>
        </w:rPr>
        <w:t xml:space="preserve">&gt; </w:t>
      </w:r>
      <w:r>
        <w:rPr>
          <w:lang w:eastAsia="es-ES"/>
        </w:rPr>
        <w:br/>
      </w:r>
      <w:r>
        <w:rPr>
          <w:b/>
          <w:bCs/>
          <w:lang w:eastAsia="es-ES"/>
        </w:rPr>
        <w:t>Enviado el:</w:t>
      </w:r>
      <w:r>
        <w:rPr>
          <w:lang w:eastAsia="es-ES"/>
        </w:rPr>
        <w:t xml:space="preserve"> martes, 14 de diciembre de 2021 16:05</w:t>
      </w:r>
      <w:r>
        <w:rPr>
          <w:lang w:eastAsia="es-ES"/>
        </w:rPr>
        <w:br/>
      </w:r>
      <w:r>
        <w:rPr>
          <w:b/>
          <w:bCs/>
          <w:lang w:eastAsia="es-ES"/>
        </w:rPr>
        <w:t>Para:</w:t>
      </w:r>
      <w:r>
        <w:rPr>
          <w:lang w:eastAsia="es-ES"/>
        </w:rPr>
        <w:t xml:space="preserve"> Cifuentes Sanz, María Del Mar &lt;</w:t>
      </w:r>
      <w:hyperlink r:id="rId6" w:history="1">
        <w:r>
          <w:rPr>
            <w:rStyle w:val="Hipervnculo"/>
            <w:lang w:eastAsia="es-ES"/>
          </w:rPr>
          <w:t>mcifuentes@indra.es</w:t>
        </w:r>
      </w:hyperlink>
      <w:r>
        <w:rPr>
          <w:lang w:eastAsia="es-ES"/>
        </w:rPr>
        <w:t>&gt;; Alvarez Quiles, Inmaculada &lt;</w:t>
      </w:r>
      <w:hyperlink r:id="rId7" w:history="1">
        <w:r>
          <w:rPr>
            <w:rStyle w:val="Hipervnculo"/>
            <w:lang w:eastAsia="es-ES"/>
          </w:rPr>
          <w:t>ialvarezq@indra.es</w:t>
        </w:r>
      </w:hyperlink>
      <w:r>
        <w:rPr>
          <w:lang w:eastAsia="es-ES"/>
        </w:rPr>
        <w:t>&gt;</w:t>
      </w:r>
      <w:r>
        <w:rPr>
          <w:lang w:eastAsia="es-ES"/>
        </w:rPr>
        <w:br/>
      </w:r>
      <w:r>
        <w:rPr>
          <w:b/>
          <w:bCs/>
          <w:lang w:eastAsia="es-ES"/>
        </w:rPr>
        <w:t>CC:</w:t>
      </w:r>
      <w:r>
        <w:rPr>
          <w:lang w:eastAsia="es-ES"/>
        </w:rPr>
        <w:t xml:space="preserve"> Muñiz Velasco, Eugenio &lt;</w:t>
      </w:r>
      <w:hyperlink r:id="rId8" w:history="1">
        <w:r>
          <w:rPr>
            <w:rStyle w:val="Hipervnculo"/>
            <w:lang w:eastAsia="es-ES"/>
          </w:rPr>
          <w:t>emuniz@indra.es</w:t>
        </w:r>
      </w:hyperlink>
      <w:r>
        <w:rPr>
          <w:lang w:eastAsia="es-ES"/>
        </w:rPr>
        <w:t>&gt;; Silles Cristóbal, María Fernanda &lt;</w:t>
      </w:r>
      <w:hyperlink r:id="rId9" w:history="1">
        <w:r>
          <w:rPr>
            <w:rStyle w:val="Hipervnculo"/>
            <w:lang w:eastAsia="es-ES"/>
          </w:rPr>
          <w:t>fsilles@minsait.com</w:t>
        </w:r>
      </w:hyperlink>
      <w:r>
        <w:rPr>
          <w:lang w:eastAsia="es-ES"/>
        </w:rPr>
        <w:t>&gt;; Hernández Caballero, Adolfo &lt;</w:t>
      </w:r>
      <w:hyperlink r:id="rId10" w:history="1">
        <w:r>
          <w:rPr>
            <w:rStyle w:val="Hipervnculo"/>
            <w:lang w:eastAsia="es-ES"/>
          </w:rPr>
          <w:t>ahecaballero@minsait.com</w:t>
        </w:r>
      </w:hyperlink>
      <w:r>
        <w:rPr>
          <w:lang w:eastAsia="es-ES"/>
        </w:rPr>
        <w:t>&gt;; Bolaños López De Lerma, Carlos &lt;</w:t>
      </w:r>
      <w:hyperlink r:id="rId11" w:history="1">
        <w:r>
          <w:rPr>
            <w:rStyle w:val="Hipervnculo"/>
            <w:lang w:eastAsia="es-ES"/>
          </w:rPr>
          <w:t>cbolanos@minsait.com</w:t>
        </w:r>
      </w:hyperlink>
      <w:r>
        <w:rPr>
          <w:lang w:eastAsia="es-ES"/>
        </w:rPr>
        <w:t>&gt;; Placer Feijóo, Carmen Pilar &lt;</w:t>
      </w:r>
      <w:hyperlink r:id="rId12" w:history="1">
        <w:r>
          <w:rPr>
            <w:rStyle w:val="Hipervnculo"/>
            <w:lang w:eastAsia="es-ES"/>
          </w:rPr>
          <w:t>pplacer@minsait.com</w:t>
        </w:r>
      </w:hyperlink>
      <w:r>
        <w:rPr>
          <w:lang w:eastAsia="es-ES"/>
        </w:rPr>
        <w:t>&gt;; Romay Rioboo, Ana Carlota &lt;</w:t>
      </w:r>
      <w:hyperlink r:id="rId13" w:history="1">
        <w:r>
          <w:rPr>
            <w:rStyle w:val="Hipervnculo"/>
            <w:lang w:eastAsia="es-ES"/>
          </w:rPr>
          <w:t>acromay@minsait.com</w:t>
        </w:r>
      </w:hyperlink>
      <w:r>
        <w:rPr>
          <w:lang w:eastAsia="es-ES"/>
        </w:rPr>
        <w:t>&gt;; Abou-Assali Rubio, Samra &lt;</w:t>
      </w:r>
      <w:hyperlink r:id="rId14" w:history="1">
        <w:r>
          <w:rPr>
            <w:rStyle w:val="Hipervnculo"/>
            <w:lang w:eastAsia="es-ES"/>
          </w:rPr>
          <w:t>sabouassali@indra.es</w:t>
        </w:r>
      </w:hyperlink>
      <w:r>
        <w:rPr>
          <w:lang w:eastAsia="es-ES"/>
        </w:rPr>
        <w:t>&gt;; Muñoz López, Ana &lt;</w:t>
      </w:r>
      <w:hyperlink r:id="rId15" w:history="1">
        <w:r>
          <w:rPr>
            <w:rStyle w:val="Hipervnculo"/>
            <w:lang w:eastAsia="es-ES"/>
          </w:rPr>
          <w:t>amunozlo@indra.es</w:t>
        </w:r>
      </w:hyperlink>
      <w:r>
        <w:rPr>
          <w:lang w:eastAsia="es-ES"/>
        </w:rPr>
        <w:t>&gt;; Ochoa Garcia, Iñigo &lt;</w:t>
      </w:r>
      <w:hyperlink r:id="rId16" w:history="1">
        <w:r>
          <w:rPr>
            <w:rStyle w:val="Hipervnculo"/>
            <w:lang w:eastAsia="es-ES"/>
          </w:rPr>
          <w:t>iochoa@indra.es</w:t>
        </w:r>
      </w:hyperlink>
      <w:r>
        <w:rPr>
          <w:lang w:eastAsia="es-ES"/>
        </w:rPr>
        <w:t>&gt;</w:t>
      </w:r>
      <w:r>
        <w:rPr>
          <w:lang w:eastAsia="es-ES"/>
        </w:rPr>
        <w:br/>
      </w:r>
      <w:r>
        <w:rPr>
          <w:b/>
          <w:bCs/>
          <w:lang w:eastAsia="es-ES"/>
        </w:rPr>
        <w:t>Asunto:</w:t>
      </w:r>
      <w:r>
        <w:rPr>
          <w:lang w:eastAsia="es-ES"/>
        </w:rPr>
        <w:t xml:space="preserve"> RE: Acuerdo Especial Dietas - Argentina - PPEE</w:t>
      </w:r>
    </w:p>
    <w:p w:rsidR="00291877" w:rsidRDefault="00291877" w:rsidP="00291877"/>
    <w:p w:rsidR="00291877" w:rsidRDefault="00291877" w:rsidP="00291877">
      <w:pPr>
        <w:rPr>
          <w:color w:val="1F497D"/>
        </w:rPr>
      </w:pPr>
      <w:r>
        <w:rPr>
          <w:color w:val="1F497D"/>
        </w:rPr>
        <w:t xml:space="preserve">Buenas Mar, </w:t>
      </w:r>
    </w:p>
    <w:p w:rsidR="00291877" w:rsidRDefault="00291877" w:rsidP="00291877">
      <w:pPr>
        <w:rPr>
          <w:color w:val="1F497D"/>
        </w:rPr>
      </w:pPr>
    </w:p>
    <w:p w:rsidR="00291877" w:rsidRDefault="00291877" w:rsidP="00291877">
      <w:pPr>
        <w:rPr>
          <w:color w:val="1F497D"/>
        </w:rPr>
      </w:pPr>
      <w:r>
        <w:rPr>
          <w:color w:val="1F497D"/>
        </w:rPr>
        <w:t>En base al precedente y atendiendo a la excepción trasladada por negocio, se acumula el periodo en Argentina al de Colombia, en el último trimestre del año 2021, de los siguientes profesionales (con independencia de su rol):</w:t>
      </w:r>
    </w:p>
    <w:p w:rsidR="00291877" w:rsidRDefault="00291877" w:rsidP="00291877">
      <w:pPr>
        <w:rPr>
          <w:color w:val="1F497D"/>
        </w:rPr>
      </w:pPr>
    </w:p>
    <w:tbl>
      <w:tblPr>
        <w:tblW w:w="4176" w:type="dxa"/>
        <w:tblInd w:w="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2268"/>
        <w:gridCol w:w="1134"/>
      </w:tblGrid>
      <w:tr w:rsidR="00291877" w:rsidTr="00291877">
        <w:trPr>
          <w:trHeight w:val="330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jc w:val="center"/>
              <w:rPr>
                <w:rFonts w:ascii="Neo Sans Light" w:hAnsi="Neo Sans Light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b/>
                <w:bCs/>
                <w:color w:val="000000"/>
                <w:sz w:val="20"/>
                <w:szCs w:val="20"/>
                <w:lang w:eastAsia="es-ES"/>
              </w:rPr>
              <w:t>ID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b/>
                <w:bCs/>
                <w:color w:val="000000"/>
                <w:sz w:val="20"/>
                <w:szCs w:val="20"/>
                <w:lang w:eastAsia="es-ES"/>
              </w:rPr>
              <w:t>Apellidos, Nombre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Neo Sans Light" w:hAnsi="Neo Sans Light"/>
                <w:b/>
                <w:bCs/>
                <w:color w:val="000000"/>
                <w:sz w:val="20"/>
                <w:szCs w:val="20"/>
                <w:lang w:eastAsia="es-ES"/>
              </w:rPr>
              <w:t>Cod</w:t>
            </w:r>
            <w:proofErr w:type="spellEnd"/>
            <w:r>
              <w:rPr>
                <w:rFonts w:ascii="Neo Sans Light" w:hAnsi="Neo Sans Light"/>
                <w:b/>
                <w:bCs/>
                <w:color w:val="000000"/>
                <w:sz w:val="20"/>
                <w:szCs w:val="20"/>
                <w:lang w:eastAsia="es-ES"/>
              </w:rPr>
              <w:t xml:space="preserve">. Rol </w:t>
            </w:r>
          </w:p>
        </w:tc>
      </w:tr>
      <w:tr w:rsidR="00291877" w:rsidTr="00291877">
        <w:trPr>
          <w:trHeight w:val="33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jc w:val="right"/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468451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Freixa Iraola, Daniel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G11BO07</w:t>
            </w:r>
          </w:p>
        </w:tc>
      </w:tr>
      <w:tr w:rsidR="00291877" w:rsidTr="00291877">
        <w:trPr>
          <w:trHeight w:val="33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jc w:val="right"/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462163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Rueda Vázquez, Pedro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G12BO07</w:t>
            </w:r>
          </w:p>
        </w:tc>
      </w:tr>
      <w:tr w:rsidR="00291877" w:rsidTr="00291877">
        <w:trPr>
          <w:trHeight w:val="33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jc w:val="right"/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468453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Rueda Díez, Laura Isabel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T32BO07</w:t>
            </w:r>
          </w:p>
        </w:tc>
      </w:tr>
      <w:tr w:rsidR="00291877" w:rsidTr="00291877">
        <w:trPr>
          <w:trHeight w:val="33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jc w:val="right"/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477700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Rottier Tuneu, Juan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T31BO07</w:t>
            </w:r>
          </w:p>
        </w:tc>
      </w:tr>
      <w:tr w:rsidR="00291877" w:rsidTr="00291877">
        <w:trPr>
          <w:trHeight w:val="33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jc w:val="right"/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405197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Delgado García, Mariano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T31BO07</w:t>
            </w:r>
          </w:p>
        </w:tc>
      </w:tr>
      <w:tr w:rsidR="00291877" w:rsidTr="00291877">
        <w:trPr>
          <w:trHeight w:val="33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jc w:val="right"/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416734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Martín Márquez, Jesús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91877" w:rsidRDefault="00291877">
            <w:pP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Neo Sans Light" w:hAnsi="Neo Sans Light"/>
                <w:color w:val="000000"/>
                <w:sz w:val="20"/>
                <w:szCs w:val="20"/>
                <w:lang w:eastAsia="es-ES"/>
              </w:rPr>
              <w:t>G23BO07</w:t>
            </w:r>
          </w:p>
        </w:tc>
      </w:tr>
    </w:tbl>
    <w:p w:rsidR="00291877" w:rsidRDefault="00291877" w:rsidP="00291877">
      <w:pPr>
        <w:rPr>
          <w:color w:val="1F497D"/>
        </w:rPr>
      </w:pPr>
    </w:p>
    <w:p w:rsidR="00291877" w:rsidRDefault="00291877" w:rsidP="00291877">
      <w:pPr>
        <w:rPr>
          <w:color w:val="1F497D"/>
        </w:rPr>
      </w:pPr>
      <w:r>
        <w:rPr>
          <w:color w:val="1F497D"/>
        </w:rPr>
        <w:t>al efecto de:</w:t>
      </w:r>
    </w:p>
    <w:p w:rsidR="00291877" w:rsidRDefault="00291877" w:rsidP="00291877">
      <w:pPr>
        <w:pStyle w:val="Prrafodelista"/>
        <w:numPr>
          <w:ilvl w:val="0"/>
          <w:numId w:val="1"/>
        </w:numPr>
        <w:spacing w:before="120"/>
        <w:ind w:left="760" w:hanging="357"/>
        <w:rPr>
          <w:i/>
          <w:iCs/>
          <w:color w:val="000000"/>
        </w:rPr>
      </w:pPr>
      <w:r>
        <w:rPr>
          <w:i/>
          <w:iCs/>
          <w:color w:val="000000"/>
        </w:rPr>
        <w:t xml:space="preserve">Los días de presencia de cada profesional en </w:t>
      </w:r>
      <w:r>
        <w:rPr>
          <w:b/>
          <w:bCs/>
          <w:i/>
          <w:iCs/>
          <w:color w:val="000000"/>
          <w:u w:val="single"/>
        </w:rPr>
        <w:t>cada</w:t>
      </w:r>
      <w:r>
        <w:rPr>
          <w:i/>
          <w:iCs/>
          <w:color w:val="000000"/>
        </w:rPr>
        <w:t xml:space="preserve"> destino contabilizan en el cómputo de días total, de modo que si </w:t>
      </w:r>
      <w:proofErr w:type="gramStart"/>
      <w:r>
        <w:rPr>
          <w:i/>
          <w:iCs/>
          <w:color w:val="000000"/>
        </w:rPr>
        <w:t>acumulan :</w:t>
      </w:r>
      <w:proofErr w:type="gramEnd"/>
    </w:p>
    <w:p w:rsidR="00291877" w:rsidRDefault="00291877" w:rsidP="00291877">
      <w:pPr>
        <w:pStyle w:val="Prrafodelista"/>
        <w:numPr>
          <w:ilvl w:val="0"/>
          <w:numId w:val="2"/>
        </w:numPr>
        <w:spacing w:before="60"/>
        <w:ind w:left="1066" w:hanging="357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De 31 </w:t>
      </w:r>
      <w:r>
        <w:rPr>
          <w:i/>
          <w:iCs/>
          <w:color w:val="000000"/>
        </w:rPr>
        <w:t>a</w:t>
      </w:r>
      <w:r>
        <w:rPr>
          <w:b/>
          <w:bCs/>
          <w:i/>
          <w:iCs/>
          <w:color w:val="000000"/>
        </w:rPr>
        <w:t xml:space="preserve"> 45 días</w:t>
      </w:r>
      <w:r>
        <w:rPr>
          <w:i/>
          <w:iCs/>
          <w:color w:val="000000"/>
        </w:rPr>
        <w:t xml:space="preserve"> de desplazamiento en los destinos se aplicará un recargo sobre el importe de la dieta diaria </w:t>
      </w:r>
      <w:r>
        <w:rPr>
          <w:b/>
          <w:bCs/>
          <w:i/>
          <w:iCs/>
          <w:color w:val="000000"/>
        </w:rPr>
        <w:t>del país en cuestión</w:t>
      </w:r>
      <w:r>
        <w:rPr>
          <w:i/>
          <w:iCs/>
          <w:color w:val="000000"/>
        </w:rPr>
        <w:t xml:space="preserve"> del </w:t>
      </w:r>
      <w:r>
        <w:rPr>
          <w:b/>
          <w:bCs/>
          <w:i/>
          <w:iCs/>
          <w:color w:val="000000"/>
        </w:rPr>
        <w:t>30% desde el día 31</w:t>
      </w:r>
      <w:r>
        <w:rPr>
          <w:i/>
          <w:iCs/>
          <w:color w:val="000000"/>
        </w:rPr>
        <w:t>.  </w:t>
      </w:r>
    </w:p>
    <w:p w:rsidR="00291877" w:rsidRDefault="00291877" w:rsidP="00291877">
      <w:pPr>
        <w:pStyle w:val="Prrafodelista"/>
        <w:numPr>
          <w:ilvl w:val="0"/>
          <w:numId w:val="2"/>
        </w:numPr>
        <w:ind w:left="1068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Para más de 45 días</w:t>
      </w:r>
      <w:r>
        <w:rPr>
          <w:i/>
          <w:iCs/>
          <w:color w:val="000000"/>
        </w:rPr>
        <w:t xml:space="preserve"> de desplazamiento el recargo del </w:t>
      </w:r>
      <w:r>
        <w:rPr>
          <w:b/>
          <w:bCs/>
          <w:i/>
          <w:iCs/>
          <w:color w:val="000000"/>
        </w:rPr>
        <w:t>30%</w:t>
      </w:r>
      <w:r>
        <w:rPr>
          <w:i/>
          <w:iCs/>
          <w:color w:val="000000"/>
        </w:rPr>
        <w:t xml:space="preserve"> anterior será de aplicación </w:t>
      </w:r>
      <w:r>
        <w:rPr>
          <w:b/>
          <w:bCs/>
          <w:i/>
          <w:iCs/>
          <w:color w:val="000000"/>
        </w:rPr>
        <w:t>desde el día 1</w:t>
      </w:r>
      <w:r>
        <w:rPr>
          <w:i/>
          <w:iCs/>
          <w:color w:val="000000"/>
        </w:rPr>
        <w:t xml:space="preserve">. </w:t>
      </w:r>
    </w:p>
    <w:p w:rsidR="00291877" w:rsidRDefault="00291877" w:rsidP="00291877">
      <w:pPr>
        <w:rPr>
          <w:color w:val="1F497D"/>
        </w:rPr>
      </w:pPr>
    </w:p>
    <w:p w:rsidR="00291877" w:rsidRDefault="00291877" w:rsidP="00291877">
      <w:pPr>
        <w:rPr>
          <w:color w:val="1F497D"/>
        </w:rPr>
      </w:pPr>
      <w:r>
        <w:rPr>
          <w:color w:val="1F497D"/>
        </w:rPr>
        <w:t xml:space="preserve">Cualquier cuestión, no dudes en indicarnos, </w:t>
      </w:r>
    </w:p>
    <w:p w:rsidR="00291877" w:rsidRDefault="00291877" w:rsidP="00291877">
      <w:pPr>
        <w:rPr>
          <w:color w:val="1F497D"/>
        </w:rPr>
      </w:pPr>
      <w:r>
        <w:rPr>
          <w:color w:val="1F497D"/>
        </w:rPr>
        <w:t xml:space="preserve">Gracias y saludos, </w:t>
      </w:r>
    </w:p>
    <w:p w:rsidR="00291877" w:rsidRDefault="00291877" w:rsidP="00291877">
      <w:pPr>
        <w:rPr>
          <w:color w:val="1F497D"/>
        </w:rPr>
      </w:pPr>
    </w:p>
    <w:tbl>
      <w:tblPr>
        <w:tblW w:w="0" w:type="auto"/>
        <w:tblCellSpacing w:w="0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</w:tblGrid>
      <w:tr w:rsidR="00291877" w:rsidTr="00291877">
        <w:trPr>
          <w:trHeight w:val="1705"/>
          <w:tblCellSpacing w:w="0" w:type="dxa"/>
        </w:trPr>
        <w:tc>
          <w:tcPr>
            <w:tcW w:w="4845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291877" w:rsidRDefault="00291877">
            <w:pPr>
              <w:ind w:left="-465"/>
              <w:rPr>
                <w:color w:val="004254"/>
                <w:lang w:eastAsia="es-ES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>
                  <wp:extent cx="609600" cy="342900"/>
                  <wp:effectExtent l="0" t="0" r="0" b="0"/>
                  <wp:docPr id="2" name="Imagen 2" descr="indracompany">
                    <a:hlinkClick xmlns:a="http://schemas.openxmlformats.org/drawingml/2006/main" r:id="rId17" tooltip="&quot;titl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indracomp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877" w:rsidRPr="00291877" w:rsidRDefault="00291877">
            <w:pPr>
              <w:spacing w:line="240" w:lineRule="atLeast"/>
              <w:ind w:left="-465"/>
              <w:rPr>
                <w:rFonts w:ascii="Georgia" w:hAnsi="Georgia"/>
                <w:color w:val="004254"/>
                <w:sz w:val="20"/>
                <w:szCs w:val="20"/>
                <w:lang w:val="pt-PT" w:eastAsia="es-ES"/>
              </w:rPr>
            </w:pPr>
            <w:r w:rsidRPr="00291877">
              <w:rPr>
                <w:rFonts w:ascii="Georgia" w:hAnsi="Georgia"/>
                <w:color w:val="004254"/>
                <w:sz w:val="20"/>
                <w:szCs w:val="20"/>
                <w:lang w:val="pt-PT" w:eastAsia="es-ES"/>
              </w:rPr>
              <w:t>Iñigo Ochoa Garcia</w:t>
            </w:r>
          </w:p>
          <w:p w:rsidR="00291877" w:rsidRPr="00291877" w:rsidRDefault="00291877">
            <w:pPr>
              <w:spacing w:line="240" w:lineRule="atLeast"/>
              <w:ind w:left="-465"/>
              <w:rPr>
                <w:rFonts w:ascii="Georgia" w:hAnsi="Georgia"/>
                <w:color w:val="004254"/>
                <w:sz w:val="20"/>
                <w:szCs w:val="20"/>
                <w:lang w:val="pt-PT" w:eastAsia="es-ES"/>
              </w:rPr>
            </w:pPr>
            <w:r w:rsidRPr="00291877">
              <w:rPr>
                <w:rFonts w:ascii="Arial" w:hAnsi="Arial" w:cs="Arial"/>
                <w:color w:val="004254"/>
                <w:sz w:val="18"/>
                <w:szCs w:val="18"/>
                <w:lang w:val="pt-PT" w:eastAsia="es-ES"/>
              </w:rPr>
              <w:t>RRHH</w:t>
            </w:r>
          </w:p>
          <w:tbl>
            <w:tblPr>
              <w:tblW w:w="493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3"/>
            </w:tblGrid>
            <w:tr w:rsidR="00291877" w:rsidRPr="00291877">
              <w:trPr>
                <w:trHeight w:val="152"/>
              </w:trPr>
              <w:tc>
                <w:tcPr>
                  <w:tcW w:w="0" w:type="auto"/>
                  <w:hideMark/>
                </w:tcPr>
                <w:p w:rsidR="00291877" w:rsidRPr="00291877" w:rsidRDefault="00291877">
                  <w:pPr>
                    <w:spacing w:line="225" w:lineRule="exact"/>
                    <w:ind w:left="-465"/>
                    <w:rPr>
                      <w:rFonts w:ascii="Arial" w:hAnsi="Arial" w:cs="Arial"/>
                      <w:color w:val="0A0A0A"/>
                      <w:sz w:val="24"/>
                      <w:szCs w:val="24"/>
                      <w:lang w:val="pt-PT" w:eastAsia="es-ES"/>
                    </w:rPr>
                  </w:pPr>
                  <w:r w:rsidRPr="00291877">
                    <w:rPr>
                      <w:rFonts w:ascii="Arial" w:hAnsi="Arial" w:cs="Arial"/>
                      <w:color w:val="0A0A0A"/>
                      <w:lang w:val="pt-PT" w:eastAsia="es-ES"/>
                    </w:rPr>
                    <w:t> </w:t>
                  </w:r>
                </w:p>
              </w:tc>
            </w:tr>
          </w:tbl>
          <w:p w:rsidR="00291877" w:rsidRPr="00291877" w:rsidRDefault="00291877">
            <w:pPr>
              <w:spacing w:line="165" w:lineRule="atLeast"/>
              <w:ind w:left="-465"/>
              <w:rPr>
                <w:rFonts w:ascii="Arial" w:hAnsi="Arial" w:cs="Arial"/>
                <w:color w:val="004254"/>
                <w:sz w:val="16"/>
                <w:szCs w:val="16"/>
                <w:lang w:val="pt-PT" w:eastAsia="es-ES"/>
              </w:rPr>
            </w:pPr>
            <w:r w:rsidRPr="00291877">
              <w:rPr>
                <w:rFonts w:ascii="Arial" w:hAnsi="Arial" w:cs="Arial"/>
                <w:color w:val="004254"/>
                <w:sz w:val="16"/>
                <w:szCs w:val="16"/>
                <w:lang w:val="pt-PT" w:eastAsia="es-ES"/>
              </w:rPr>
              <w:t>Avda. de Bruselas, 35</w:t>
            </w:r>
          </w:p>
          <w:p w:rsidR="00291877" w:rsidRDefault="00291877">
            <w:pPr>
              <w:spacing w:line="165" w:lineRule="atLeast"/>
              <w:ind w:left="-465"/>
              <w:rPr>
                <w:rFonts w:ascii="Arial" w:hAnsi="Arial" w:cs="Arial"/>
                <w:color w:val="004254"/>
                <w:sz w:val="16"/>
                <w:szCs w:val="16"/>
                <w:lang w:eastAsia="es-ES"/>
              </w:rPr>
            </w:pPr>
            <w:r w:rsidRPr="00291877">
              <w:rPr>
                <w:rFonts w:ascii="Arial" w:hAnsi="Arial" w:cs="Arial"/>
                <w:color w:val="004254"/>
                <w:sz w:val="16"/>
                <w:szCs w:val="16"/>
                <w:lang w:val="pt-PT" w:eastAsia="es-ES"/>
              </w:rPr>
              <w:t xml:space="preserve">28108 Alcobendas. </w:t>
            </w:r>
            <w:r>
              <w:rPr>
                <w:rFonts w:ascii="Arial" w:hAnsi="Arial" w:cs="Arial"/>
                <w:color w:val="004254"/>
                <w:sz w:val="16"/>
                <w:szCs w:val="16"/>
                <w:lang w:eastAsia="es-ES"/>
              </w:rPr>
              <w:t>Madrid, España</w:t>
            </w:r>
          </w:p>
          <w:p w:rsidR="00291877" w:rsidRDefault="00291877">
            <w:pPr>
              <w:spacing w:line="165" w:lineRule="atLeast"/>
              <w:ind w:left="-465"/>
              <w:rPr>
                <w:rFonts w:ascii="Arial" w:hAnsi="Arial" w:cs="Arial"/>
                <w:color w:val="004254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4254"/>
                <w:sz w:val="16"/>
                <w:szCs w:val="16"/>
                <w:lang w:eastAsia="es-ES"/>
              </w:rPr>
              <w:t>T +34 91 480 94 24 - M +34 661 701 160</w:t>
            </w:r>
          </w:p>
          <w:p w:rsidR="00291877" w:rsidRDefault="00291877">
            <w:pPr>
              <w:spacing w:line="165" w:lineRule="atLeast"/>
              <w:ind w:left="-465"/>
              <w:rPr>
                <w:rFonts w:ascii="Arial" w:hAnsi="Arial" w:cs="Arial"/>
                <w:color w:val="004254"/>
                <w:sz w:val="16"/>
                <w:szCs w:val="16"/>
                <w:lang w:eastAsia="es-ES"/>
              </w:rPr>
            </w:pPr>
            <w:hyperlink r:id="rId20" w:tgtFrame="_blank" w:history="1">
              <w:r>
                <w:rPr>
                  <w:rStyle w:val="Hipervnculo"/>
                  <w:rFonts w:ascii="Arial" w:hAnsi="Arial" w:cs="Arial"/>
                  <w:color w:val="004254"/>
                  <w:sz w:val="16"/>
                  <w:szCs w:val="16"/>
                  <w:u w:val="none"/>
                  <w:lang w:eastAsia="es-ES"/>
                </w:rPr>
                <w:t>indracompany.com</w:t>
              </w:r>
            </w:hyperlink>
          </w:p>
          <w:p w:rsidR="00291877" w:rsidRDefault="00291877">
            <w:pPr>
              <w:ind w:left="-465"/>
              <w:rPr>
                <w:rFonts w:ascii="Times New Roman" w:hAnsi="Times New Roman" w:cs="Times New Roman"/>
                <w:color w:val="004254"/>
                <w:sz w:val="24"/>
                <w:szCs w:val="24"/>
                <w:lang w:eastAsia="es-ES"/>
              </w:rPr>
            </w:pPr>
            <w:r>
              <w:rPr>
                <w:noProof/>
                <w:color w:val="004254"/>
                <w:lang w:eastAsia="es-ES"/>
              </w:rPr>
              <w:drawing>
                <wp:inline distT="0" distB="0" distL="0" distR="0">
                  <wp:extent cx="609600" cy="342900"/>
                  <wp:effectExtent l="0" t="0" r="0" b="0"/>
                  <wp:docPr id="1" name="Imagen 1" descr="https://www.indracompany.com/mail/tacon_Indra_(64x3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s://www.indracompany.com/mail/tacon_Indra_(64x3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6542" w:rsidRDefault="00291877">
      <w:bookmarkStart w:id="0" w:name="_GoBack"/>
      <w:bookmarkEnd w:id="0"/>
    </w:p>
    <w:sectPr w:rsidR="005B6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o Sans Light">
    <w:panose1 w:val="020B03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42D"/>
    <w:multiLevelType w:val="hybridMultilevel"/>
    <w:tmpl w:val="D0DE68DA"/>
    <w:lvl w:ilvl="0" w:tplc="496E92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49BA"/>
    <w:multiLevelType w:val="hybridMultilevel"/>
    <w:tmpl w:val="E362A17E"/>
    <w:lvl w:ilvl="0" w:tplc="0C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77"/>
    <w:rsid w:val="00291877"/>
    <w:rsid w:val="00776659"/>
    <w:rsid w:val="00A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E8E52-9D01-4683-95C4-BC8A477C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7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9187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918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niz@indra.es" TargetMode="External"/><Relationship Id="rId13" Type="http://schemas.openxmlformats.org/officeDocument/2006/relationships/hyperlink" Target="mailto:acromay@minsait.com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mailto:ialvarezq@indra.es" TargetMode="External"/><Relationship Id="rId12" Type="http://schemas.openxmlformats.org/officeDocument/2006/relationships/hyperlink" Target="mailto:pplacer@minsait.com" TargetMode="External"/><Relationship Id="rId17" Type="http://schemas.openxmlformats.org/officeDocument/2006/relationships/hyperlink" Target="https://eur04.safelinks.protection.outlook.com/?url=http%3A%2F%2Fwww.indracompany.com%2F&amp;data=04%7C01%7Cpplacer%40minsait.com%7Cde0e4290141c412b100308d9bf176d4a%7C7808e00514894374954bd3b08f193920%7C0%7C0%7C637750929599108983%7CUnknown%7CTWFpbGZsb3d8eyJWIjoiMC4wLjAwMDAiLCJQIjoiV2luMzIiLCJBTiI6Ik1haWwiLCJXVCI6Mn0%3D%7C3000&amp;sdata=rLpw0PZyQswouFHB%2FSES5FJcSaqR1AOSbtBEoFl31nQ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mailto:iochoa@indra.es" TargetMode="External"/><Relationship Id="rId20" Type="http://schemas.openxmlformats.org/officeDocument/2006/relationships/hyperlink" Target="https://eur04.safelinks.protection.outlook.com/?url=http%3A%2F%2Fwww.indracompany.com%2F&amp;data=04%7C01%7Cpplacer%40minsait.com%7Cde0e4290141c412b100308d9bf176d4a%7C7808e00514894374954bd3b08f193920%7C0%7C0%7C637750929599118936%7CUnknown%7CTWFpbGZsb3d8eyJWIjoiMC4wLjAwMDAiLCJQIjoiV2luMzIiLCJBTiI6Ik1haWwiLCJXVCI6Mn0%3D%7C3000&amp;sdata=I2IQPCkntCNjAOA1Kf%2F2OkD6ncsS9kh6zEHkp4N9dgQ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cifuentes@indra.es" TargetMode="External"/><Relationship Id="rId11" Type="http://schemas.openxmlformats.org/officeDocument/2006/relationships/hyperlink" Target="mailto:cbolanos@minsai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ochoa@indra.es" TargetMode="External"/><Relationship Id="rId15" Type="http://schemas.openxmlformats.org/officeDocument/2006/relationships/hyperlink" Target="mailto:amunozlo@indra.e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hecaballero@minsait.com" TargetMode="External"/><Relationship Id="rId19" Type="http://schemas.openxmlformats.org/officeDocument/2006/relationships/image" Target="cid:image002.png@01D7F108.A93C1B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silles@minsait.com" TargetMode="External"/><Relationship Id="rId14" Type="http://schemas.openxmlformats.org/officeDocument/2006/relationships/hyperlink" Target="mailto:sabouassali@indra.es" TargetMode="External"/><Relationship Id="rId22" Type="http://schemas.openxmlformats.org/officeDocument/2006/relationships/image" Target="cid:image003.png@01D7F108.A93C1B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De: Ochoa Garcia, Iñigo &lt;iochoa@indra.es&gt;  Enviado el: martes, 14 de diciembre d</vt:lpstr>
    </vt:vector>
  </TitlesOfParts>
  <Company>Indra Sistemas SA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Placer Feijóo, Carmen Pilar</dc:creator>
  <cp:keywords/>
  <dc:description/>
  <cp:lastModifiedBy>Placer Feijóo, Carmen Pilar</cp:lastModifiedBy>
  <cp:revision>1</cp:revision>
  <dcterms:created xsi:type="dcterms:W3CDTF">2021-12-14T15:49:00Z</dcterms:created>
  <dcterms:modified xsi:type="dcterms:W3CDTF">2021-12-14T15:50:00Z</dcterms:modified>
</cp:coreProperties>
</file>